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120" w:line="480"/>
        <w:ind w:left="120"/>
        <w:jc w:val="right"/>
      </w:pPr>
      <w:r>
        <w:rPr>
          <w:rFonts w:ascii="Times New Roman" w:hAnsi="Times New Roman"/>
          <w:b/>
          <w:i w:val="false"/>
          <w:color w:val="000000"/>
          <w:sz w:val="28"/>
        </w:rPr>
        <w:t>RA 26-173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8"/>
        </w:rPr>
        <w:t>EDUCATION DEPARTMENT[281]</w:t>
      </w:r>
    </w:p>
    <w:p>
      <w:pPr>
        <w:pBdr>
          <w:top w:space="9"/>
        </w:pBdr>
        <w:spacing w:before="0" w:after="20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Regulatory Analysis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Notice of Intended Action to be published: 281—Chapter 41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“Special Education”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Iowa Code section(s) or chapter(s) authorizing rulemaking: 256.7 and 256B.3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State or federal law(s) implemented by the rulemaking: Iowa Code chapter 256B and 34 CFR Part 300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Hearing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A public hearing at which persons may present their views orally or in writing will be held as follows: 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5632"/>
        <w:gridCol w:w="5632"/>
      </w:tblGrid>
      <w:tr>
        <w:trPr>
          <w:trHeight w:val="960" w:hRule="atLeast"/>
        </w:trPr>
        <w:tc>
          <w:tcPr>
            <w:tcW w:w="563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August 11, 2026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9 to 10 a.m.</w:t>
            </w:r>
          </w:p>
        </w:tc>
        <w:tc>
          <w:tcPr>
            <w:tcW w:w="563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Room B50 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Grimes State Office Building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Via videoconference:</w:t>
            </w:r>
            <w:r>
              <w:br/>
            </w:r>
            <w:hyperlink r:id="rId4">
              <w:r>
                <w:rPr>
                  <w:rStyle w:val="Hyperlink"/>
                  <w:rFonts w:ascii="Times New Roman" w:hAnsi="Times New Roman"/>
                  <w:b w:val="false"/>
                  <w:i w:val="false"/>
                  <w:color w:val="0000ff"/>
                  <w:sz w:val="14"/>
                </w:rPr>
                <w:t>meet.google.com/qjc-zbvu-pmx</w:t>
              </w:r>
            </w:hyperlink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Or dial: ‪(US) +1 410.995.8223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PIN: ‪697 039 136#</w:t>
            </w:r>
          </w:p>
        </w:tc>
      </w:tr>
    </w:tbl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Comment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Any interested person may submit written or oral comments concerning this Regulatory Analysis, which must be received by the Department of Education no later than 4:30 p.m. on the date of the public hearing. Comments should be directed to: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11264"/>
      </w:tblGrid>
      <w:tr>
        <w:trPr>
          <w:trHeight w:val="1110" w:hRule="atLeast"/>
        </w:trPr>
        <w:tc>
          <w:tcPr>
            <w:tcW w:w="11264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Thomas A. Mayes, Rules Coordinator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Department of Education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Grimes State Office Building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400 East 14th Street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Des Moines, Iowa 50319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Phone: 515.281.8661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Email: </w:t>
            </w:r>
            <w:hyperlink r:id="rId5">
              <w:r>
                <w:rPr>
                  <w:rStyle w:val="Hyperlink"/>
                  <w:rFonts w:ascii="Times New Roman" w:hAnsi="Times New Roman"/>
                  <w:b w:val="false"/>
                  <w:i w:val="false"/>
                  <w:color w:val="0000ff"/>
                  <w:sz w:val="14"/>
                </w:rPr>
                <w:t>thomas.mayes@iowa.gov</w:t>
              </w:r>
            </w:hyperlink>
          </w:p>
        </w:tc>
      </w:tr>
    </w:tbl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Purpose and Summary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These proposed technical corrections provide additional support for students with disabilities who are placed outside of their district of residence.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Analysis of Impact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1.   </w:t>
      </w:r>
      <w:r>
        <w:rPr>
          <w:rFonts w:ascii="Times New Roman" w:hAnsi="Times New Roman"/>
          <w:b/>
          <w:i w:val="false"/>
          <w:color w:val="000000"/>
          <w:sz w:val="24"/>
        </w:rPr>
        <w:t>Persons affected by the proposed rulemaking: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Classes of persons that will bear the costs of the proposed rulemaking: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School districts, area education agencies, and the Department will bear any costs.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Classes of persons that will benefit from the proposed rulemaking: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Schools and families will benefit from the clarity this proposed rulemaking will provide.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2.   </w:t>
      </w:r>
      <w:r>
        <w:rPr>
          <w:rFonts w:ascii="Times New Roman" w:hAnsi="Times New Roman"/>
          <w:b/>
          <w:i w:val="false"/>
          <w:color w:val="000000"/>
          <w:sz w:val="24"/>
        </w:rPr>
        <w:t>Impact of the proposed rulemaking, economic or otherwise, including the nature and amount of all the different kinds of costs that would be incurred: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Quantitative description of impact: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There is no known quantitative impact.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Qualitative description of impact: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There is an unquantifiable qualitative impact associated with increased rule clarity.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3.   </w:t>
      </w:r>
      <w:r>
        <w:rPr>
          <w:rFonts w:ascii="Times New Roman" w:hAnsi="Times New Roman"/>
          <w:b/>
          <w:i w:val="false"/>
          <w:color w:val="000000"/>
          <w:sz w:val="24"/>
        </w:rPr>
        <w:t>Costs to the State: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Implementation and enforcement costs borne by the agency or any other agency: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The Department will bear routine enforcement costs (e.g., the costs of monitoring and enforcing any school law).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Anticipated effect on State revenues: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No effects were noted or anticipated.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4.   </w:t>
      </w:r>
      <w:r>
        <w:rPr>
          <w:rFonts w:ascii="Times New Roman" w:hAnsi="Times New Roman"/>
          <w:b/>
          <w:i w:val="false"/>
          <w:color w:val="000000"/>
          <w:sz w:val="24"/>
        </w:rPr>
        <w:t>Comparison of the costs and benefits of the proposed rulemaking to the costs and benefits of inaction: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The statute requires rules, so no comparison is necessary.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5.   </w:t>
      </w:r>
      <w:r>
        <w:rPr>
          <w:rFonts w:ascii="Times New Roman" w:hAnsi="Times New Roman"/>
          <w:b/>
          <w:i w:val="false"/>
          <w:color w:val="000000"/>
          <w:sz w:val="24"/>
        </w:rPr>
        <w:t>Determination whether less costly methods or less intrusive methods exist for achieving the purpose of the proposed rulemaking: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The statute requires rules, so no determination was made.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6.   </w:t>
      </w:r>
      <w:r>
        <w:rPr>
          <w:rFonts w:ascii="Times New Roman" w:hAnsi="Times New Roman"/>
          <w:b/>
          <w:i w:val="false"/>
          <w:color w:val="000000"/>
          <w:sz w:val="24"/>
        </w:rPr>
        <w:t>Alternative methods considered by the agency: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Description of any alternative methods that were seriously considered by the agency: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The statute requires rules, so no alternatives were considered.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Reasons why alternative methods were rejected in favor of the proposed rulemaking: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The statute requires rules, so no alternatives were considered.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Small Business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If the rulemaking will have a substantial impact on small business, include a discussion of whether it would be feasible and practicable to do any of the following to reduce the impact of the rulemaking on small business: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Establish less stringent compliance or reporting requirements in the rulemaking for small business.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Establish less stringent schedules or deadlines in the rulemaking for compliance or reporting requirements for small business.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Consolidate or simplify the rulemaking’s compliance or reporting requirements for small business.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Establish performance standards to replace design or operational standards in the rulemaking for small business.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Exempt small business from any or all requirements of the rulemaking.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If legal and feasible, how does the rulemaking use a method discussed above to reduce the substantial impact on small business?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There is no known impact on small business.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Text of Proposed Rulemaking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1.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Amend paragraph </w:t>
      </w:r>
      <w:r>
        <w:rPr>
          <w:rFonts w:ascii="Times New Roman" w:hAnsi="Times New Roman"/>
          <w:b/>
          <w:i w:val="false"/>
          <w:color w:val="000000"/>
          <w:sz w:val="24"/>
        </w:rPr>
        <w:t>41.116(4)“b”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as follows: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/>
          <w:color w:val="000000"/>
          <w:sz w:val="24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/>
          <w:color w:val="000000"/>
          <w:sz w:val="24"/>
        </w:rPr>
        <w:t xml:space="preserve">Additional questions concerning special school placement.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When some or all of an eligible individual’s special education is to be provided in a special school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(which, for purposes of this rule, is defined as an educational environment for students with disabilities, including anything labelled as a special school, special program, or separate location, outside of the public school building that the child would otherwise attend)</w:t>
      </w:r>
      <w:r>
        <w:rPr>
          <w:rFonts w:ascii="Times New Roman" w:hAnsi="Times New Roman"/>
          <w:b w:val="false"/>
          <w:i w:val="false"/>
          <w:color w:val="000000"/>
          <w:sz w:val="24"/>
        </w:rPr>
        <w:t>, the individual’s IEP, or an associated or attached document, shall include specific answers to the following additional four questions: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4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to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(4)</w:t>
      </w:r>
      <w:r>
        <w:rPr>
          <w:rFonts w:ascii="Times New Roman" w:hAnsi="Times New Roman"/>
          <w:b w:val="false"/>
          <w:i w:val="false"/>
          <w:color w:val="000000"/>
          <w:sz w:val="24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4"/>
        </w:rPr>
        <w:t>No change.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2.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Amend paragraph </w:t>
      </w:r>
      <w:r>
        <w:rPr>
          <w:rFonts w:ascii="Times New Roman" w:hAnsi="Times New Roman"/>
          <w:b/>
          <w:i w:val="false"/>
          <w:color w:val="000000"/>
          <w:sz w:val="24"/>
        </w:rPr>
        <w:t>41.903(2)“a”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as follows: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/>
          <w:color w:val="000000"/>
          <w:sz w:val="24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Ensuring that all the requirements related to the development of each eligible individual’s IEP are met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, including attending or otherwise participating in each eligible individual’s IEP team meetings</w:t>
      </w:r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://meet.google.com/qjc-zbvu-pmx" Type="http://schemas.openxmlformats.org/officeDocument/2006/relationships/hyperlink" Id="rId4"/>
    <Relationship TargetMode="External" Target="mailto:thomas.mayes@iowa.gov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